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23" w:rsidRPr="00B07CF8" w:rsidRDefault="004F3F23" w:rsidP="00E87A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</w:pPr>
      <w:r w:rsidRPr="00B07CF8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2014</w:t>
      </w:r>
    </w:p>
    <w:p w:rsidR="00B07CF8" w:rsidRPr="00B07CF8" w:rsidRDefault="00B07CF8" w:rsidP="00DE48F3">
      <w:pPr>
        <w:pStyle w:val="Akapitzlist"/>
        <w:jc w:val="center"/>
      </w:pPr>
    </w:p>
    <w:tbl>
      <w:tblPr>
        <w:tblW w:w="104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1562"/>
      </w:tblGrid>
      <w:tr w:rsidR="00DE48F3" w:rsidRPr="00DE48F3" w:rsidTr="008673D5">
        <w:trPr>
          <w:trHeight w:val="1177"/>
        </w:trPr>
        <w:tc>
          <w:tcPr>
            <w:tcW w:w="8931" w:type="dxa"/>
            <w:vAlign w:val="center"/>
          </w:tcPr>
          <w:p w:rsidR="00DE48F3" w:rsidRPr="00DE48F3" w:rsidRDefault="00DE48F3" w:rsidP="008673D5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48F3">
              <w:rPr>
                <w:rFonts w:ascii="Arial" w:hAnsi="Arial" w:cs="Arial"/>
                <w:sz w:val="24"/>
                <w:szCs w:val="24"/>
              </w:rPr>
              <w:t>Kiełczyński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</w:rPr>
              <w:t xml:space="preserve"> P., Szalewski M., Balcerzak A., Wieja K., Rostocki A.J., </w:t>
            </w:r>
            <w:proofErr w:type="spellStart"/>
            <w:r w:rsidRPr="00DE48F3">
              <w:rPr>
                <w:rFonts w:ascii="Arial" w:hAnsi="Arial" w:cs="Arial"/>
                <w:sz w:val="24"/>
                <w:szCs w:val="24"/>
              </w:rPr>
              <w:t>Siegoczyński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</w:rPr>
              <w:t xml:space="preserve"> R.M., </w:t>
            </w:r>
            <w:proofErr w:type="spellStart"/>
            <w:r w:rsidRPr="00DE48F3">
              <w:rPr>
                <w:rFonts w:ascii="Arial" w:hAnsi="Arial" w:cs="Arial"/>
                <w:sz w:val="24"/>
                <w:szCs w:val="24"/>
              </w:rPr>
              <w:t>Ultrasonic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48F3">
              <w:rPr>
                <w:rFonts w:ascii="Arial" w:hAnsi="Arial" w:cs="Arial"/>
                <w:sz w:val="24"/>
                <w:szCs w:val="24"/>
              </w:rPr>
              <w:t>evaluation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DE48F3">
              <w:rPr>
                <w:rFonts w:ascii="Arial" w:hAnsi="Arial" w:cs="Arial"/>
                <w:sz w:val="24"/>
                <w:szCs w:val="24"/>
              </w:rPr>
              <w:t>thermodynamic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48F3">
              <w:rPr>
                <w:rFonts w:ascii="Arial" w:hAnsi="Arial" w:cs="Arial"/>
                <w:sz w:val="24"/>
                <w:szCs w:val="24"/>
              </w:rPr>
              <w:t>parameters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DE48F3">
              <w:rPr>
                <w:rFonts w:ascii="Arial" w:hAnsi="Arial" w:cs="Arial"/>
                <w:sz w:val="24"/>
                <w:szCs w:val="24"/>
              </w:rPr>
              <w:t>liquids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48F3">
              <w:rPr>
                <w:rFonts w:ascii="Arial" w:hAnsi="Arial" w:cs="Arial"/>
                <w:sz w:val="24"/>
                <w:szCs w:val="24"/>
              </w:rPr>
              <w:t>under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</w:rPr>
              <w:t xml:space="preserve"> high </w:t>
            </w:r>
            <w:proofErr w:type="spellStart"/>
            <w:r w:rsidRPr="00DE48F3">
              <w:rPr>
                <w:rFonts w:ascii="Arial" w:hAnsi="Arial" w:cs="Arial"/>
                <w:sz w:val="24"/>
                <w:szCs w:val="24"/>
              </w:rPr>
              <w:t>pressure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</w:rPr>
              <w:t>,</w:t>
            </w:r>
            <w:r w:rsidR="00FD6456" w:rsidRPr="0090693C">
              <w:rPr>
                <w:rFonts w:ascii="Arial" w:hAnsi="Arial" w:cs="Arial"/>
                <w:b/>
                <w:sz w:val="24"/>
                <w:szCs w:val="24"/>
              </w:rPr>
              <w:t xml:space="preserve"> IEEE International </w:t>
            </w:r>
            <w:proofErr w:type="spellStart"/>
            <w:r w:rsidR="00FD6456" w:rsidRPr="0090693C">
              <w:rPr>
                <w:rFonts w:ascii="Arial" w:hAnsi="Arial" w:cs="Arial"/>
                <w:b/>
                <w:sz w:val="24"/>
                <w:szCs w:val="24"/>
              </w:rPr>
              <w:t>Ultrasonics</w:t>
            </w:r>
            <w:proofErr w:type="spellEnd"/>
            <w:r w:rsidR="00FD6456" w:rsidRPr="009069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D6456" w:rsidRPr="0090693C">
              <w:rPr>
                <w:rFonts w:ascii="Arial" w:hAnsi="Arial" w:cs="Arial"/>
                <w:b/>
                <w:sz w:val="24"/>
                <w:szCs w:val="24"/>
              </w:rPr>
              <w:t>Symposium</w:t>
            </w:r>
            <w:proofErr w:type="spellEnd"/>
            <w:r w:rsidR="00FD6456">
              <w:rPr>
                <w:rFonts w:ascii="Arial" w:hAnsi="Arial" w:cs="Arial"/>
                <w:sz w:val="24"/>
                <w:szCs w:val="24"/>
              </w:rPr>
              <w:t>,</w:t>
            </w:r>
            <w:r w:rsidR="00BC573B">
              <w:rPr>
                <w:rFonts w:ascii="Arial" w:hAnsi="Arial" w:cs="Arial"/>
                <w:sz w:val="24"/>
                <w:szCs w:val="24"/>
              </w:rPr>
              <w:t xml:space="preserve"> Chicago (USA), </w:t>
            </w:r>
            <w:r w:rsidRPr="00DE48F3">
              <w:rPr>
                <w:rFonts w:ascii="Arial" w:hAnsi="Arial" w:cs="Arial"/>
                <w:sz w:val="24"/>
                <w:szCs w:val="24"/>
              </w:rPr>
              <w:t>10.1109/ULTSYM.2014.0497 pp.1996-1999;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C573B" w:rsidRPr="0090693C" w:rsidRDefault="00BC573B" w:rsidP="00BC573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93C">
              <w:rPr>
                <w:rFonts w:ascii="Arial" w:hAnsi="Arial" w:cs="Arial"/>
                <w:b/>
                <w:sz w:val="24"/>
                <w:szCs w:val="24"/>
              </w:rPr>
              <w:t>Konferencja</w:t>
            </w:r>
          </w:p>
          <w:p w:rsidR="00DE48F3" w:rsidRPr="00DE48F3" w:rsidRDefault="00BC573B" w:rsidP="00BC573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93C">
              <w:rPr>
                <w:rFonts w:ascii="Arial" w:hAnsi="Arial" w:cs="Arial"/>
                <w:b/>
                <w:sz w:val="24"/>
                <w:szCs w:val="24"/>
              </w:rPr>
              <w:t>(na liście WEB of Science)</w:t>
            </w:r>
          </w:p>
        </w:tc>
      </w:tr>
      <w:tr w:rsidR="00DE48F3" w:rsidRPr="00DE48F3" w:rsidTr="008673D5">
        <w:trPr>
          <w:trHeight w:val="1177"/>
        </w:trPr>
        <w:tc>
          <w:tcPr>
            <w:tcW w:w="8931" w:type="dxa"/>
            <w:vAlign w:val="center"/>
          </w:tcPr>
          <w:p w:rsidR="00DE48F3" w:rsidRPr="00DE48F3" w:rsidRDefault="00DE48F3" w:rsidP="008673D5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>Kiełczyński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 xml:space="preserve"> P., </w:t>
            </w:r>
            <w:proofErr w:type="spellStart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>Szalewski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>Balcerzak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>Wieja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 xml:space="preserve"> K., Density and viscosity of liquids determination using an inverse method for Love wave propagation, </w:t>
            </w:r>
            <w:r w:rsidR="00FD6456" w:rsidRPr="00FD645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IEEE International </w:t>
            </w:r>
            <w:proofErr w:type="spellStart"/>
            <w:r w:rsidR="00FD6456" w:rsidRPr="00FD6456">
              <w:rPr>
                <w:rFonts w:ascii="Arial" w:hAnsi="Arial" w:cs="Arial"/>
                <w:b/>
                <w:sz w:val="24"/>
                <w:szCs w:val="24"/>
                <w:lang w:val="en-US"/>
              </w:rPr>
              <w:t>Ultrasonics</w:t>
            </w:r>
            <w:proofErr w:type="spellEnd"/>
            <w:r w:rsidR="00FD6456" w:rsidRPr="00FD645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Symposium</w:t>
            </w:r>
            <w:r w:rsidR="00FD6456" w:rsidRPr="00FD6456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="00FD6456" w:rsidRPr="00DE48F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C573B" w:rsidRPr="00BC573B">
              <w:rPr>
                <w:rFonts w:ascii="Arial" w:hAnsi="Arial" w:cs="Arial"/>
                <w:sz w:val="24"/>
                <w:szCs w:val="24"/>
                <w:lang w:val="en-US"/>
              </w:rPr>
              <w:t xml:space="preserve">Chicago (USA), </w:t>
            </w:r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>10.1109/ULTSYM.2014.0496 pp.1992-1995;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C573B" w:rsidRPr="0090693C" w:rsidRDefault="00BC573B" w:rsidP="00BC573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93C">
              <w:rPr>
                <w:rFonts w:ascii="Arial" w:hAnsi="Arial" w:cs="Arial"/>
                <w:b/>
                <w:sz w:val="24"/>
                <w:szCs w:val="24"/>
              </w:rPr>
              <w:t>Konferencja</w:t>
            </w:r>
          </w:p>
          <w:p w:rsidR="00DE48F3" w:rsidRPr="008673D5" w:rsidRDefault="00BC573B" w:rsidP="00BC573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93C">
              <w:rPr>
                <w:rFonts w:ascii="Arial" w:hAnsi="Arial" w:cs="Arial"/>
                <w:b/>
                <w:sz w:val="24"/>
                <w:szCs w:val="24"/>
              </w:rPr>
              <w:t>(na liście WEB of Science)</w:t>
            </w:r>
          </w:p>
        </w:tc>
      </w:tr>
      <w:tr w:rsidR="00DE48F3" w:rsidRPr="00DE48F3" w:rsidTr="008673D5">
        <w:trPr>
          <w:trHeight w:val="1177"/>
        </w:trPr>
        <w:tc>
          <w:tcPr>
            <w:tcW w:w="8931" w:type="dxa"/>
            <w:vAlign w:val="center"/>
          </w:tcPr>
          <w:p w:rsidR="00DE48F3" w:rsidRPr="00DE48F3" w:rsidRDefault="00DE48F3" w:rsidP="008673D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>Kiełczyński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 xml:space="preserve"> P., </w:t>
            </w:r>
            <w:proofErr w:type="spellStart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>Szalewski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>Balcerzak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 xml:space="preserve"> A., Inverse procedure for simultaneous evaluation of viscosity and density of Newtonian liquids from dispersion curves of Love waves, </w:t>
            </w:r>
            <w:proofErr w:type="spellStart"/>
            <w:r w:rsidRPr="00FD6456">
              <w:rPr>
                <w:rFonts w:ascii="Arial" w:hAnsi="Arial" w:cs="Arial"/>
                <w:b/>
                <w:sz w:val="24"/>
                <w:szCs w:val="24"/>
                <w:lang w:val="en-US"/>
              </w:rPr>
              <w:t>J.Appl.Phys</w:t>
            </w:r>
            <w:proofErr w:type="spellEnd"/>
            <w:r w:rsidRPr="00FD6456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>, 116, 2014, 044902;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E48F3" w:rsidRPr="003A2925" w:rsidRDefault="008673D5" w:rsidP="00DE48F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35 pkt.</w:t>
            </w:r>
          </w:p>
        </w:tc>
      </w:tr>
      <w:tr w:rsidR="00DE48F3" w:rsidRPr="00DE48F3" w:rsidTr="008673D5">
        <w:trPr>
          <w:trHeight w:val="1177"/>
        </w:trPr>
        <w:tc>
          <w:tcPr>
            <w:tcW w:w="8931" w:type="dxa"/>
            <w:vAlign w:val="center"/>
          </w:tcPr>
          <w:p w:rsidR="00DE48F3" w:rsidRPr="008673D5" w:rsidRDefault="00DE48F3" w:rsidP="008673D5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73D5">
              <w:rPr>
                <w:rFonts w:ascii="Arial" w:hAnsi="Arial" w:cs="Arial"/>
                <w:sz w:val="24"/>
                <w:szCs w:val="24"/>
              </w:rPr>
              <w:t>Kiełczyński</w:t>
            </w:r>
            <w:proofErr w:type="spellEnd"/>
            <w:r w:rsidRPr="008673D5">
              <w:rPr>
                <w:rFonts w:ascii="Arial" w:hAnsi="Arial" w:cs="Arial"/>
                <w:sz w:val="24"/>
                <w:szCs w:val="24"/>
              </w:rPr>
              <w:t xml:space="preserve"> P., Szalewski M., Balcerzak A., Wieja K., Malanowski A., </w:t>
            </w:r>
            <w:proofErr w:type="spellStart"/>
            <w:r w:rsidRPr="008673D5">
              <w:rPr>
                <w:rFonts w:ascii="Arial" w:hAnsi="Arial" w:cs="Arial"/>
                <w:sz w:val="24"/>
                <w:szCs w:val="24"/>
              </w:rPr>
              <w:t>Kościesza</w:t>
            </w:r>
            <w:proofErr w:type="spellEnd"/>
            <w:r w:rsidRPr="008673D5">
              <w:rPr>
                <w:rFonts w:ascii="Arial" w:hAnsi="Arial" w:cs="Arial"/>
                <w:sz w:val="24"/>
                <w:szCs w:val="24"/>
              </w:rPr>
              <w:t xml:space="preserve"> R., </w:t>
            </w:r>
            <w:proofErr w:type="spellStart"/>
            <w:r w:rsidRPr="008673D5">
              <w:rPr>
                <w:rFonts w:ascii="Arial" w:hAnsi="Arial" w:cs="Arial"/>
                <w:sz w:val="24"/>
                <w:szCs w:val="24"/>
              </w:rPr>
              <w:t>Tarakowski</w:t>
            </w:r>
            <w:proofErr w:type="spellEnd"/>
            <w:r w:rsidRPr="008673D5">
              <w:rPr>
                <w:rFonts w:ascii="Arial" w:hAnsi="Arial" w:cs="Arial"/>
                <w:sz w:val="24"/>
                <w:szCs w:val="24"/>
              </w:rPr>
              <w:t xml:space="preserve"> R., Rostocki A.J., </w:t>
            </w:r>
            <w:proofErr w:type="spellStart"/>
            <w:r w:rsidRPr="008673D5">
              <w:rPr>
                <w:rFonts w:ascii="Arial" w:hAnsi="Arial" w:cs="Arial"/>
                <w:sz w:val="24"/>
                <w:szCs w:val="24"/>
              </w:rPr>
              <w:t>Siegoczyński</w:t>
            </w:r>
            <w:proofErr w:type="spellEnd"/>
            <w:r w:rsidRPr="008673D5">
              <w:rPr>
                <w:rFonts w:ascii="Arial" w:hAnsi="Arial" w:cs="Arial"/>
                <w:sz w:val="24"/>
                <w:szCs w:val="24"/>
              </w:rPr>
              <w:t xml:space="preserve"> R.M., </w:t>
            </w:r>
            <w:proofErr w:type="spellStart"/>
            <w:r w:rsidRPr="008673D5">
              <w:rPr>
                <w:rFonts w:ascii="Arial" w:hAnsi="Arial" w:cs="Arial"/>
                <w:sz w:val="24"/>
                <w:szCs w:val="24"/>
              </w:rPr>
              <w:t>Determination</w:t>
            </w:r>
            <w:proofErr w:type="spellEnd"/>
            <w:r w:rsidRPr="008673D5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8673D5">
              <w:rPr>
                <w:rFonts w:ascii="Arial" w:hAnsi="Arial" w:cs="Arial"/>
                <w:sz w:val="24"/>
                <w:szCs w:val="24"/>
              </w:rPr>
              <w:t>physicochemical</w:t>
            </w:r>
            <w:proofErr w:type="spellEnd"/>
            <w:r w:rsidRPr="008673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673D5">
              <w:rPr>
                <w:rFonts w:ascii="Arial" w:hAnsi="Arial" w:cs="Arial"/>
                <w:sz w:val="24"/>
                <w:szCs w:val="24"/>
              </w:rPr>
              <w:t>properties</w:t>
            </w:r>
            <w:proofErr w:type="spellEnd"/>
            <w:r w:rsidRPr="008673D5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8673D5">
              <w:rPr>
                <w:rFonts w:ascii="Arial" w:hAnsi="Arial" w:cs="Arial"/>
                <w:sz w:val="24"/>
                <w:szCs w:val="24"/>
              </w:rPr>
              <w:t>diacylglycerol</w:t>
            </w:r>
            <w:proofErr w:type="spellEnd"/>
            <w:r w:rsidRPr="008673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673D5">
              <w:rPr>
                <w:rFonts w:ascii="Arial" w:hAnsi="Arial" w:cs="Arial"/>
                <w:sz w:val="24"/>
                <w:szCs w:val="24"/>
              </w:rPr>
              <w:t>oil</w:t>
            </w:r>
            <w:proofErr w:type="spellEnd"/>
            <w:r w:rsidRPr="008673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673D5">
              <w:rPr>
                <w:rFonts w:ascii="Arial" w:hAnsi="Arial" w:cs="Arial"/>
                <w:sz w:val="24"/>
                <w:szCs w:val="24"/>
              </w:rPr>
              <w:t>at</w:t>
            </w:r>
            <w:proofErr w:type="spellEnd"/>
            <w:r w:rsidRPr="008673D5">
              <w:rPr>
                <w:rFonts w:ascii="Arial" w:hAnsi="Arial" w:cs="Arial"/>
                <w:sz w:val="24"/>
                <w:szCs w:val="24"/>
              </w:rPr>
              <w:t xml:space="preserve"> high </w:t>
            </w:r>
            <w:proofErr w:type="spellStart"/>
            <w:r w:rsidRPr="008673D5">
              <w:rPr>
                <w:rFonts w:ascii="Arial" w:hAnsi="Arial" w:cs="Arial"/>
                <w:sz w:val="24"/>
                <w:szCs w:val="24"/>
              </w:rPr>
              <w:t>pressure</w:t>
            </w:r>
            <w:proofErr w:type="spellEnd"/>
            <w:r w:rsidRPr="008673D5">
              <w:rPr>
                <w:rFonts w:ascii="Arial" w:hAnsi="Arial" w:cs="Arial"/>
                <w:sz w:val="24"/>
                <w:szCs w:val="24"/>
              </w:rPr>
              <w:t xml:space="preserve"> by </w:t>
            </w:r>
            <w:proofErr w:type="spellStart"/>
            <w:r w:rsidRPr="008673D5">
              <w:rPr>
                <w:rFonts w:ascii="Arial" w:hAnsi="Arial" w:cs="Arial"/>
                <w:sz w:val="24"/>
                <w:szCs w:val="24"/>
              </w:rPr>
              <w:t>means</w:t>
            </w:r>
            <w:proofErr w:type="spellEnd"/>
            <w:r w:rsidRPr="008673D5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8673D5">
              <w:rPr>
                <w:rFonts w:ascii="Arial" w:hAnsi="Arial" w:cs="Arial"/>
                <w:sz w:val="24"/>
                <w:szCs w:val="24"/>
              </w:rPr>
              <w:t>ultrasonic</w:t>
            </w:r>
            <w:proofErr w:type="spellEnd"/>
            <w:r w:rsidRPr="008673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673D5">
              <w:rPr>
                <w:rFonts w:ascii="Arial" w:hAnsi="Arial" w:cs="Arial"/>
                <w:sz w:val="24"/>
                <w:szCs w:val="24"/>
              </w:rPr>
              <w:t>methods</w:t>
            </w:r>
            <w:proofErr w:type="spellEnd"/>
            <w:r w:rsidRPr="008673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673D5">
              <w:rPr>
                <w:rFonts w:ascii="Arial" w:hAnsi="Arial" w:cs="Arial"/>
                <w:b/>
                <w:sz w:val="24"/>
                <w:szCs w:val="24"/>
              </w:rPr>
              <w:t>Ultrasonics</w:t>
            </w:r>
            <w:proofErr w:type="spellEnd"/>
            <w:r w:rsidRPr="008673D5">
              <w:rPr>
                <w:rFonts w:ascii="Arial" w:hAnsi="Arial" w:cs="Arial"/>
                <w:sz w:val="24"/>
                <w:szCs w:val="24"/>
              </w:rPr>
              <w:t>, 54, 2014 pp.2134-40;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E48F3" w:rsidRPr="008673D5" w:rsidRDefault="008673D5" w:rsidP="00DE48F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 pkt.</w:t>
            </w:r>
          </w:p>
        </w:tc>
      </w:tr>
      <w:tr w:rsidR="00DE48F3" w:rsidRPr="008673D5" w:rsidTr="008673D5">
        <w:trPr>
          <w:trHeight w:val="1177"/>
        </w:trPr>
        <w:tc>
          <w:tcPr>
            <w:tcW w:w="8931" w:type="dxa"/>
            <w:vAlign w:val="center"/>
          </w:tcPr>
          <w:p w:rsidR="00DE48F3" w:rsidRPr="00DE48F3" w:rsidRDefault="00DE48F3" w:rsidP="008673D5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>Kiełczyński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 xml:space="preserve"> P., </w:t>
            </w:r>
            <w:proofErr w:type="spellStart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>Szalewski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>Balcerzak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>Wieja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 xml:space="preserve"> K., </w:t>
            </w:r>
            <w:proofErr w:type="spellStart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>Rostocki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 xml:space="preserve"> A.J., </w:t>
            </w:r>
            <w:proofErr w:type="spellStart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>Siegoczyński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 xml:space="preserve"> R.M., Thermodynamic Method for Measuring the B/A Nonlinear Parameter Under High Pressure, </w:t>
            </w:r>
            <w:r w:rsidRPr="00FD6456">
              <w:rPr>
                <w:rFonts w:ascii="Arial" w:hAnsi="Arial" w:cs="Arial"/>
                <w:b/>
                <w:sz w:val="24"/>
                <w:szCs w:val="24"/>
                <w:lang w:val="en-US"/>
              </w:rPr>
              <w:t>Engineering Transactions</w:t>
            </w:r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>, 62, 2014, pp.5-15;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E48F3" w:rsidRPr="003A2925" w:rsidRDefault="008673D5" w:rsidP="00DE48F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7 pkt.</w:t>
            </w:r>
          </w:p>
        </w:tc>
      </w:tr>
      <w:tr w:rsidR="00DE48F3" w:rsidRPr="008673D5" w:rsidTr="008673D5">
        <w:trPr>
          <w:trHeight w:val="1177"/>
        </w:trPr>
        <w:tc>
          <w:tcPr>
            <w:tcW w:w="8931" w:type="dxa"/>
            <w:vAlign w:val="center"/>
          </w:tcPr>
          <w:p w:rsidR="00DE48F3" w:rsidRPr="00DE48F3" w:rsidRDefault="00DE48F3" w:rsidP="008673D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>Kiełczyński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 xml:space="preserve"> P., </w:t>
            </w:r>
            <w:proofErr w:type="spellStart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>Szalewski</w:t>
            </w:r>
            <w:proofErr w:type="spellEnd"/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 xml:space="preserve"> M., Transistor Effect in the Cochlear Amplifier</w:t>
            </w:r>
            <w:r w:rsidRPr="00FD6456">
              <w:rPr>
                <w:rFonts w:ascii="Arial" w:hAnsi="Arial" w:cs="Arial"/>
                <w:b/>
                <w:sz w:val="24"/>
                <w:szCs w:val="24"/>
                <w:lang w:val="en-US"/>
              </w:rPr>
              <w:t>, Archives of Acoustics</w:t>
            </w:r>
            <w:r w:rsidRPr="00DE48F3">
              <w:rPr>
                <w:rFonts w:ascii="Arial" w:hAnsi="Arial" w:cs="Arial"/>
                <w:sz w:val="24"/>
                <w:szCs w:val="24"/>
                <w:lang w:val="en-US"/>
              </w:rPr>
              <w:t>, 39, 2014, pp.117-124;</w:t>
            </w:r>
            <w:bookmarkStart w:id="0" w:name="_GoBack"/>
            <w:bookmarkEnd w:id="0"/>
          </w:p>
        </w:tc>
        <w:tc>
          <w:tcPr>
            <w:tcW w:w="1562" w:type="dxa"/>
            <w:shd w:val="clear" w:color="auto" w:fill="auto"/>
            <w:vAlign w:val="center"/>
          </w:tcPr>
          <w:p w:rsidR="00DE48F3" w:rsidRPr="003A2925" w:rsidRDefault="008673D5" w:rsidP="00DE48F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20 pkt.</w:t>
            </w:r>
          </w:p>
        </w:tc>
      </w:tr>
      <w:tr w:rsidR="00B07CF8" w:rsidRPr="003A2925" w:rsidTr="00B07CF8">
        <w:trPr>
          <w:trHeight w:val="1177"/>
        </w:trPr>
        <w:tc>
          <w:tcPr>
            <w:tcW w:w="8931" w:type="dxa"/>
            <w:vAlign w:val="center"/>
          </w:tcPr>
          <w:p w:rsidR="00B07CF8" w:rsidRPr="003A2925" w:rsidRDefault="00B07CF8" w:rsidP="00B07CF8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Kiełczyński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P., Szalewski M., Balcerzak A.,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Wieja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K.,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Rostocki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A.J.,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Siegoczyński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R.M.,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Ptasznik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S., Application of ultrasonic wave celerity measurement for evaluation of physicochemical properties of olive oil at high pressure and various temperatures, </w:t>
            </w:r>
            <w:r w:rsidR="005F74D5">
              <w:rPr>
                <w:rFonts w:ascii="Arial" w:hAnsi="Arial" w:cs="Arial"/>
                <w:b/>
                <w:sz w:val="24"/>
                <w:szCs w:val="24"/>
                <w:lang w:val="en-US"/>
              </w:rPr>
              <w:t>LWT - Food S</w:t>
            </w:r>
            <w:r w:rsidRPr="00620D17">
              <w:rPr>
                <w:rFonts w:ascii="Arial" w:hAnsi="Arial" w:cs="Arial"/>
                <w:b/>
                <w:sz w:val="24"/>
                <w:szCs w:val="24"/>
                <w:lang w:val="en-US"/>
              </w:rPr>
              <w:t>cience and Technology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, 57, 2014, pp.</w:t>
            </w:r>
            <w:r w:rsidR="00A9630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253-259;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07CF8" w:rsidRPr="003A2925" w:rsidRDefault="00B07CF8" w:rsidP="00B07CF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2925">
              <w:rPr>
                <w:rFonts w:ascii="Arial" w:hAnsi="Arial" w:cs="Arial"/>
                <w:b/>
                <w:sz w:val="24"/>
                <w:szCs w:val="24"/>
                <w:lang w:val="en-US"/>
              </w:rPr>
              <w:t>40</w:t>
            </w:r>
            <w:r w:rsidR="00C86707" w:rsidRPr="003A292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pkt.</w:t>
            </w:r>
          </w:p>
        </w:tc>
      </w:tr>
      <w:tr w:rsidR="00B07CF8" w:rsidRPr="003A2925" w:rsidTr="00B07CF8">
        <w:trPr>
          <w:trHeight w:val="1190"/>
        </w:trPr>
        <w:tc>
          <w:tcPr>
            <w:tcW w:w="8931" w:type="dxa"/>
            <w:vAlign w:val="center"/>
          </w:tcPr>
          <w:p w:rsidR="00B07CF8" w:rsidRPr="003A2925" w:rsidRDefault="00B07CF8" w:rsidP="00B07CF8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Piekarski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S., Kiełczyński P., Szalewski M.,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Rewekant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M., Computer-based simulation of plasma concentration time-profiles of drug in nonlinear two-compartment model, </w:t>
            </w:r>
            <w:r w:rsidRPr="00620D17">
              <w:rPr>
                <w:rFonts w:ascii="Arial" w:hAnsi="Arial" w:cs="Arial"/>
                <w:b/>
                <w:sz w:val="24"/>
                <w:szCs w:val="24"/>
                <w:lang w:val="en-US"/>
              </w:rPr>
              <w:t>Computer Assisted Methods in Engineering and Science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, 20, 2013, pp.</w:t>
            </w:r>
            <w:r w:rsidR="00A9630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279-288;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07CF8" w:rsidRPr="003A2925" w:rsidRDefault="00B07CF8" w:rsidP="00B07CF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2925"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  <w:r w:rsidR="00C86707" w:rsidRPr="003A292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pkt.</w:t>
            </w:r>
          </w:p>
        </w:tc>
      </w:tr>
    </w:tbl>
    <w:p w:rsidR="00CD4882" w:rsidRPr="00B07CF8" w:rsidRDefault="00CD4882" w:rsidP="00E87A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</w:pPr>
    </w:p>
    <w:p w:rsidR="00D96370" w:rsidRDefault="00D96370" w:rsidP="00E87A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:rsidR="00E87AFB" w:rsidRPr="00E87AFB" w:rsidRDefault="00E87AFB" w:rsidP="00E87A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A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2013 </w:t>
      </w:r>
    </w:p>
    <w:p w:rsidR="00E87AFB" w:rsidRPr="00533C56" w:rsidRDefault="00E87AFB" w:rsidP="00E87AF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</w:p>
    <w:tbl>
      <w:tblPr>
        <w:tblW w:w="10470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2"/>
        <w:gridCol w:w="1528"/>
      </w:tblGrid>
      <w:tr w:rsidR="00E87AFB" w:rsidRPr="0090693C" w:rsidTr="00A5599B">
        <w:trPr>
          <w:trHeight w:val="1155"/>
        </w:trPr>
        <w:tc>
          <w:tcPr>
            <w:tcW w:w="9089" w:type="dxa"/>
            <w:vAlign w:val="center"/>
          </w:tcPr>
          <w:p w:rsidR="00E87AFB" w:rsidRPr="0090693C" w:rsidRDefault="00E87AFB" w:rsidP="00A5599B">
            <w:pPr>
              <w:spacing w:before="120" w:after="120"/>
              <w:ind w:left="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93C">
              <w:rPr>
                <w:rFonts w:ascii="Arial" w:hAnsi="Arial" w:cs="Arial"/>
                <w:sz w:val="24"/>
                <w:szCs w:val="24"/>
              </w:rPr>
              <w:t>Kiełczyński P., Szalew</w:t>
            </w:r>
            <w:r w:rsidR="0090693C" w:rsidRPr="0090693C">
              <w:rPr>
                <w:rFonts w:ascii="Arial" w:hAnsi="Arial" w:cs="Arial"/>
                <w:sz w:val="24"/>
                <w:szCs w:val="24"/>
              </w:rPr>
              <w:t xml:space="preserve">ski M., Balcerzak A., Wieja K., Rostocki A.J., </w:t>
            </w:r>
            <w:proofErr w:type="spellStart"/>
            <w:r w:rsidR="0090693C" w:rsidRPr="0090693C">
              <w:rPr>
                <w:rFonts w:ascii="Arial" w:hAnsi="Arial" w:cs="Arial"/>
                <w:sz w:val="24"/>
                <w:szCs w:val="24"/>
              </w:rPr>
              <w:t>Siegoczyński</w:t>
            </w:r>
            <w:proofErr w:type="spellEnd"/>
            <w:r w:rsidR="0090693C" w:rsidRPr="0090693C">
              <w:rPr>
                <w:rFonts w:ascii="Arial" w:hAnsi="Arial" w:cs="Arial"/>
                <w:sz w:val="24"/>
                <w:szCs w:val="24"/>
              </w:rPr>
              <w:t xml:space="preserve"> R.M.</w:t>
            </w:r>
            <w:r w:rsidR="00824BD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0693C" w:rsidRPr="0090693C">
              <w:rPr>
                <w:rFonts w:ascii="Arial" w:hAnsi="Arial" w:cs="Arial"/>
                <w:sz w:val="24"/>
                <w:szCs w:val="24"/>
              </w:rPr>
              <w:t xml:space="preserve">Ptasznik S., </w:t>
            </w:r>
            <w:proofErr w:type="spellStart"/>
            <w:r w:rsidRPr="0090693C">
              <w:rPr>
                <w:rFonts w:ascii="Arial" w:hAnsi="Arial" w:cs="Arial"/>
                <w:sz w:val="24"/>
                <w:szCs w:val="24"/>
              </w:rPr>
              <w:t>Ultrasonic</w:t>
            </w:r>
            <w:proofErr w:type="spellEnd"/>
            <w:r w:rsidRPr="009069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93C">
              <w:rPr>
                <w:rFonts w:ascii="Arial" w:hAnsi="Arial" w:cs="Arial"/>
                <w:sz w:val="24"/>
                <w:szCs w:val="24"/>
              </w:rPr>
              <w:t>investigation</w:t>
            </w:r>
            <w:proofErr w:type="spellEnd"/>
            <w:r w:rsidRPr="0090693C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90693C">
              <w:rPr>
                <w:rFonts w:ascii="Arial" w:hAnsi="Arial" w:cs="Arial"/>
                <w:sz w:val="24"/>
                <w:szCs w:val="24"/>
              </w:rPr>
              <w:t>physicochemical</w:t>
            </w:r>
            <w:proofErr w:type="spellEnd"/>
            <w:r w:rsidRPr="009069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93C">
              <w:rPr>
                <w:rFonts w:ascii="Arial" w:hAnsi="Arial" w:cs="Arial"/>
                <w:sz w:val="24"/>
                <w:szCs w:val="24"/>
              </w:rPr>
              <w:t>properties</w:t>
            </w:r>
            <w:proofErr w:type="spellEnd"/>
            <w:r w:rsidRPr="0090693C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90693C">
              <w:rPr>
                <w:rFonts w:ascii="Arial" w:hAnsi="Arial" w:cs="Arial"/>
                <w:sz w:val="24"/>
                <w:szCs w:val="24"/>
              </w:rPr>
              <w:t>liquids</w:t>
            </w:r>
            <w:proofErr w:type="spellEnd"/>
            <w:r w:rsidRPr="009069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93C">
              <w:rPr>
                <w:rFonts w:ascii="Arial" w:hAnsi="Arial" w:cs="Arial"/>
                <w:sz w:val="24"/>
                <w:szCs w:val="24"/>
              </w:rPr>
              <w:t>under</w:t>
            </w:r>
            <w:proofErr w:type="spellEnd"/>
            <w:r w:rsidRPr="0090693C">
              <w:rPr>
                <w:rFonts w:ascii="Arial" w:hAnsi="Arial" w:cs="Arial"/>
                <w:sz w:val="24"/>
                <w:szCs w:val="24"/>
              </w:rPr>
              <w:t xml:space="preserve"> high </w:t>
            </w:r>
            <w:proofErr w:type="spellStart"/>
            <w:r w:rsidRPr="0090693C">
              <w:rPr>
                <w:rFonts w:ascii="Arial" w:hAnsi="Arial" w:cs="Arial"/>
                <w:sz w:val="24"/>
                <w:szCs w:val="24"/>
              </w:rPr>
              <w:t>pressure</w:t>
            </w:r>
            <w:proofErr w:type="spellEnd"/>
            <w:r w:rsidRPr="0090693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0693C">
              <w:rPr>
                <w:rFonts w:ascii="Arial" w:hAnsi="Arial" w:cs="Arial"/>
                <w:b/>
                <w:sz w:val="24"/>
                <w:szCs w:val="24"/>
              </w:rPr>
              <w:t xml:space="preserve">IEEE International </w:t>
            </w:r>
            <w:proofErr w:type="spellStart"/>
            <w:r w:rsidRPr="0090693C">
              <w:rPr>
                <w:rFonts w:ascii="Arial" w:hAnsi="Arial" w:cs="Arial"/>
                <w:b/>
                <w:sz w:val="24"/>
                <w:szCs w:val="24"/>
              </w:rPr>
              <w:t>Ultrasonics</w:t>
            </w:r>
            <w:proofErr w:type="spellEnd"/>
            <w:r w:rsidRPr="009069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0693C">
              <w:rPr>
                <w:rFonts w:ascii="Arial" w:hAnsi="Arial" w:cs="Arial"/>
                <w:b/>
                <w:sz w:val="24"/>
                <w:szCs w:val="24"/>
              </w:rPr>
              <w:t>Symposium</w:t>
            </w:r>
            <w:proofErr w:type="spellEnd"/>
            <w:r w:rsidRPr="0090693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693C">
              <w:rPr>
                <w:rFonts w:ascii="Arial" w:hAnsi="Arial" w:cs="Arial"/>
                <w:sz w:val="24"/>
                <w:szCs w:val="24"/>
              </w:rPr>
              <w:t>Prague</w:t>
            </w:r>
            <w:proofErr w:type="spellEnd"/>
            <w:r w:rsidRPr="0090693C">
              <w:rPr>
                <w:rFonts w:ascii="Arial" w:hAnsi="Arial" w:cs="Arial"/>
                <w:sz w:val="24"/>
                <w:szCs w:val="24"/>
              </w:rPr>
              <w:t xml:space="preserve"> (Czech Republic), 10.1109/ULTSYM.2013.0414 pp.</w:t>
            </w:r>
            <w:r w:rsidR="007C3669" w:rsidRPr="009069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93C">
              <w:rPr>
                <w:rFonts w:ascii="Arial" w:hAnsi="Arial" w:cs="Arial"/>
                <w:sz w:val="24"/>
                <w:szCs w:val="24"/>
              </w:rPr>
              <w:t>1626-1629;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E87AFB" w:rsidRPr="0090693C" w:rsidRDefault="00CD4882" w:rsidP="00A5599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93C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E87AFB" w:rsidRPr="0090693C">
              <w:rPr>
                <w:rFonts w:ascii="Arial" w:hAnsi="Arial" w:cs="Arial"/>
                <w:b/>
                <w:sz w:val="24"/>
                <w:szCs w:val="24"/>
              </w:rPr>
              <w:t>onferencja</w:t>
            </w:r>
          </w:p>
          <w:p w:rsidR="00562DED" w:rsidRPr="0090693C" w:rsidRDefault="00562DED" w:rsidP="00A5599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93C">
              <w:rPr>
                <w:rFonts w:ascii="Arial" w:hAnsi="Arial" w:cs="Arial"/>
                <w:b/>
                <w:sz w:val="24"/>
                <w:szCs w:val="24"/>
              </w:rPr>
              <w:t xml:space="preserve">(na </w:t>
            </w:r>
            <w:r w:rsidR="00DE7B36" w:rsidRPr="0090693C">
              <w:rPr>
                <w:rFonts w:ascii="Arial" w:hAnsi="Arial" w:cs="Arial"/>
                <w:b/>
                <w:sz w:val="24"/>
                <w:szCs w:val="24"/>
              </w:rPr>
              <w:t>liś</w:t>
            </w:r>
            <w:r w:rsidRPr="0090693C">
              <w:rPr>
                <w:rFonts w:ascii="Arial" w:hAnsi="Arial" w:cs="Arial"/>
                <w:b/>
                <w:sz w:val="24"/>
                <w:szCs w:val="24"/>
              </w:rPr>
              <w:t>cie WEB of Science)</w:t>
            </w:r>
          </w:p>
        </w:tc>
      </w:tr>
      <w:tr w:rsidR="00E87AFB" w:rsidRPr="003A2925" w:rsidTr="00A5599B">
        <w:trPr>
          <w:trHeight w:val="1200"/>
        </w:trPr>
        <w:tc>
          <w:tcPr>
            <w:tcW w:w="9089" w:type="dxa"/>
            <w:vAlign w:val="center"/>
          </w:tcPr>
          <w:p w:rsidR="00E87AFB" w:rsidRPr="00824BDB" w:rsidRDefault="00E87AFB" w:rsidP="00A5599B">
            <w:pPr>
              <w:spacing w:before="120" w:after="120"/>
              <w:ind w:left="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93C">
              <w:rPr>
                <w:rFonts w:ascii="Arial" w:hAnsi="Arial" w:cs="Arial"/>
                <w:sz w:val="24"/>
                <w:szCs w:val="24"/>
              </w:rPr>
              <w:t xml:space="preserve">Kiełczyński P., Szalewski M., Balcerzak A., Wieja K., Rostocki A.J., </w:t>
            </w:r>
            <w:proofErr w:type="spellStart"/>
            <w:r w:rsidRPr="0090693C">
              <w:rPr>
                <w:rFonts w:ascii="Arial" w:hAnsi="Arial" w:cs="Arial"/>
                <w:sz w:val="24"/>
                <w:szCs w:val="24"/>
              </w:rPr>
              <w:t>Siegoczyński</w:t>
            </w:r>
            <w:proofErr w:type="spellEnd"/>
            <w:r w:rsidRPr="0090693C">
              <w:rPr>
                <w:rFonts w:ascii="Arial" w:hAnsi="Arial" w:cs="Arial"/>
                <w:sz w:val="24"/>
                <w:szCs w:val="24"/>
              </w:rPr>
              <w:t xml:space="preserve"> R.M., </w:t>
            </w:r>
            <w:proofErr w:type="spellStart"/>
            <w:r w:rsidRPr="00824BDB">
              <w:rPr>
                <w:rFonts w:ascii="Arial" w:hAnsi="Arial" w:cs="Arial"/>
                <w:sz w:val="24"/>
                <w:szCs w:val="24"/>
              </w:rPr>
              <w:t>Thermodynamic</w:t>
            </w:r>
            <w:proofErr w:type="spellEnd"/>
            <w:r w:rsidRPr="00824B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24BDB">
              <w:rPr>
                <w:rFonts w:ascii="Arial" w:hAnsi="Arial" w:cs="Arial"/>
                <w:sz w:val="24"/>
                <w:szCs w:val="24"/>
              </w:rPr>
              <w:t>method</w:t>
            </w:r>
            <w:proofErr w:type="spellEnd"/>
            <w:r w:rsidRPr="00824BDB">
              <w:rPr>
                <w:rFonts w:ascii="Arial" w:hAnsi="Arial" w:cs="Arial"/>
                <w:sz w:val="24"/>
                <w:szCs w:val="24"/>
              </w:rPr>
              <w:t xml:space="preserve"> for </w:t>
            </w:r>
            <w:proofErr w:type="spellStart"/>
            <w:r w:rsidRPr="00824BDB">
              <w:rPr>
                <w:rFonts w:ascii="Arial" w:hAnsi="Arial" w:cs="Arial"/>
                <w:sz w:val="24"/>
                <w:szCs w:val="24"/>
              </w:rPr>
              <w:t>measuring</w:t>
            </w:r>
            <w:proofErr w:type="spellEnd"/>
            <w:r w:rsidRPr="00824BDB">
              <w:rPr>
                <w:rFonts w:ascii="Arial" w:hAnsi="Arial" w:cs="Arial"/>
                <w:sz w:val="24"/>
                <w:szCs w:val="24"/>
              </w:rPr>
              <w:t xml:space="preserve"> the B/A </w:t>
            </w:r>
            <w:proofErr w:type="spellStart"/>
            <w:r w:rsidRPr="00824BDB">
              <w:rPr>
                <w:rFonts w:ascii="Arial" w:hAnsi="Arial" w:cs="Arial"/>
                <w:sz w:val="24"/>
                <w:szCs w:val="24"/>
              </w:rPr>
              <w:t>nonlinear</w:t>
            </w:r>
            <w:proofErr w:type="spellEnd"/>
            <w:r w:rsidRPr="00824B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24BDB">
              <w:rPr>
                <w:rFonts w:ascii="Arial" w:hAnsi="Arial" w:cs="Arial"/>
                <w:sz w:val="24"/>
                <w:szCs w:val="24"/>
              </w:rPr>
              <w:t>parameter</w:t>
            </w:r>
            <w:proofErr w:type="spellEnd"/>
            <w:r w:rsidRPr="00824B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24BDB">
              <w:rPr>
                <w:rFonts w:ascii="Arial" w:hAnsi="Arial" w:cs="Arial"/>
                <w:sz w:val="24"/>
                <w:szCs w:val="24"/>
              </w:rPr>
              <w:t>under</w:t>
            </w:r>
            <w:proofErr w:type="spellEnd"/>
            <w:r w:rsidRPr="00824BDB">
              <w:rPr>
                <w:rFonts w:ascii="Arial" w:hAnsi="Arial" w:cs="Arial"/>
                <w:sz w:val="24"/>
                <w:szCs w:val="24"/>
              </w:rPr>
              <w:t xml:space="preserve"> high </w:t>
            </w:r>
            <w:proofErr w:type="spellStart"/>
            <w:r w:rsidRPr="00824BDB">
              <w:rPr>
                <w:rFonts w:ascii="Arial" w:hAnsi="Arial" w:cs="Arial"/>
                <w:sz w:val="24"/>
                <w:szCs w:val="24"/>
              </w:rPr>
              <w:t>pressure</w:t>
            </w:r>
            <w:proofErr w:type="spellEnd"/>
            <w:r w:rsidRPr="00824BD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24BDB">
              <w:rPr>
                <w:rFonts w:ascii="Arial" w:hAnsi="Arial" w:cs="Arial"/>
                <w:b/>
                <w:sz w:val="24"/>
                <w:szCs w:val="24"/>
              </w:rPr>
              <w:t xml:space="preserve">IEEE International </w:t>
            </w:r>
            <w:proofErr w:type="spellStart"/>
            <w:r w:rsidRPr="00824BDB">
              <w:rPr>
                <w:rFonts w:ascii="Arial" w:hAnsi="Arial" w:cs="Arial"/>
                <w:b/>
                <w:sz w:val="24"/>
                <w:szCs w:val="24"/>
              </w:rPr>
              <w:t>Ultrasonics</w:t>
            </w:r>
            <w:proofErr w:type="spellEnd"/>
            <w:r w:rsidRPr="00824B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24BDB">
              <w:rPr>
                <w:rFonts w:ascii="Arial" w:hAnsi="Arial" w:cs="Arial"/>
                <w:b/>
                <w:sz w:val="24"/>
                <w:szCs w:val="24"/>
              </w:rPr>
              <w:t>Symposium</w:t>
            </w:r>
            <w:proofErr w:type="spellEnd"/>
            <w:r w:rsidRPr="00824BD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24BDB">
              <w:rPr>
                <w:rFonts w:ascii="Arial" w:hAnsi="Arial" w:cs="Arial"/>
                <w:sz w:val="24"/>
                <w:szCs w:val="24"/>
              </w:rPr>
              <w:t>Prague</w:t>
            </w:r>
            <w:proofErr w:type="spellEnd"/>
            <w:r w:rsidRPr="00824BDB">
              <w:rPr>
                <w:rFonts w:ascii="Arial" w:hAnsi="Arial" w:cs="Arial"/>
                <w:sz w:val="24"/>
                <w:szCs w:val="24"/>
              </w:rPr>
              <w:t xml:space="preserve"> (Czech Republic), 10.1109/ULTSYM.2013.0424 pp.</w:t>
            </w:r>
            <w:r w:rsidR="007C3669" w:rsidRPr="00824B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BDB">
              <w:rPr>
                <w:rFonts w:ascii="Arial" w:hAnsi="Arial" w:cs="Arial"/>
                <w:sz w:val="24"/>
                <w:szCs w:val="24"/>
              </w:rPr>
              <w:t>1665-1667;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E87AFB" w:rsidRPr="00824BDB" w:rsidRDefault="00CD4882" w:rsidP="00A5599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BDB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E87AFB" w:rsidRPr="00824BDB">
              <w:rPr>
                <w:rFonts w:ascii="Arial" w:hAnsi="Arial" w:cs="Arial"/>
                <w:b/>
                <w:sz w:val="24"/>
                <w:szCs w:val="24"/>
              </w:rPr>
              <w:t>onferencja</w:t>
            </w:r>
          </w:p>
          <w:p w:rsidR="00DE7B36" w:rsidRPr="00824BDB" w:rsidRDefault="00DE7B36" w:rsidP="00A5599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BDB">
              <w:rPr>
                <w:rFonts w:ascii="Arial" w:hAnsi="Arial" w:cs="Arial"/>
                <w:b/>
                <w:sz w:val="24"/>
                <w:szCs w:val="24"/>
              </w:rPr>
              <w:t>(na liście WEB of Science)</w:t>
            </w:r>
          </w:p>
        </w:tc>
      </w:tr>
      <w:tr w:rsidR="00E87AFB" w:rsidRPr="003A2925" w:rsidTr="00A5599B">
        <w:trPr>
          <w:trHeight w:val="870"/>
        </w:trPr>
        <w:tc>
          <w:tcPr>
            <w:tcW w:w="9089" w:type="dxa"/>
            <w:vAlign w:val="center"/>
          </w:tcPr>
          <w:p w:rsidR="00E87AFB" w:rsidRPr="003A2925" w:rsidRDefault="00E87AFB" w:rsidP="00A5599B">
            <w:pPr>
              <w:spacing w:before="120" w:after="120"/>
              <w:ind w:left="30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Kiełczyński P., Power Amplification and Selectivity in the Cochlear Amplifier, </w:t>
            </w:r>
            <w:r w:rsidRPr="00620D17">
              <w:rPr>
                <w:rFonts w:ascii="Arial" w:hAnsi="Arial" w:cs="Arial"/>
                <w:b/>
                <w:sz w:val="24"/>
                <w:szCs w:val="24"/>
                <w:lang w:val="en-US"/>
              </w:rPr>
              <w:t>Archives of Acoustics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, 38, 2013, pp.</w:t>
            </w:r>
            <w:r w:rsidR="007C366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83-92;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E87AFB" w:rsidRPr="003A2925" w:rsidRDefault="00E87AFB" w:rsidP="00A5599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2925">
              <w:rPr>
                <w:rFonts w:ascii="Arial" w:hAnsi="Arial" w:cs="Arial"/>
                <w:b/>
                <w:sz w:val="24"/>
                <w:szCs w:val="24"/>
                <w:lang w:val="en-US"/>
              </w:rPr>
              <w:t>20 pkt.</w:t>
            </w:r>
          </w:p>
        </w:tc>
      </w:tr>
      <w:tr w:rsidR="00E87AFB" w:rsidRPr="003A2925" w:rsidTr="00A5599B">
        <w:trPr>
          <w:trHeight w:val="1200"/>
        </w:trPr>
        <w:tc>
          <w:tcPr>
            <w:tcW w:w="9089" w:type="dxa"/>
            <w:vAlign w:val="center"/>
          </w:tcPr>
          <w:p w:rsidR="00E87AFB" w:rsidRPr="003A2925" w:rsidRDefault="00E87AFB" w:rsidP="00A5599B">
            <w:pPr>
              <w:spacing w:before="120" w:after="120"/>
              <w:ind w:left="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925">
              <w:rPr>
                <w:rFonts w:ascii="Arial" w:hAnsi="Arial" w:cs="Arial"/>
                <w:sz w:val="24"/>
                <w:szCs w:val="24"/>
              </w:rPr>
              <w:t xml:space="preserve">Malanowski A., Rostocki A.J., Kiełczyński P., Szalewski M., Balcerzak A.,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</w:rPr>
              <w:t>Kościesza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</w:rPr>
              <w:t xml:space="preserve"> R.,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</w:rPr>
              <w:t>Tarakowski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</w:rPr>
              <w:t xml:space="preserve"> R., Ptasznik S.,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</w:rPr>
              <w:t>Siegoczyński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</w:rPr>
              <w:t xml:space="preserve"> R.M.,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</w:rPr>
              <w:t>Viscosity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</w:rPr>
              <w:t>compressibility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</w:rPr>
              <w:t>diacylglycerol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</w:rPr>
              <w:t>under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</w:rPr>
              <w:t xml:space="preserve"> high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</w:rPr>
              <w:t>pressure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20D17">
              <w:rPr>
                <w:rFonts w:ascii="Arial" w:hAnsi="Arial" w:cs="Arial"/>
                <w:b/>
                <w:sz w:val="24"/>
                <w:szCs w:val="24"/>
              </w:rPr>
              <w:t xml:space="preserve">High </w:t>
            </w:r>
            <w:proofErr w:type="spellStart"/>
            <w:r w:rsidRPr="00620D17">
              <w:rPr>
                <w:rFonts w:ascii="Arial" w:hAnsi="Arial" w:cs="Arial"/>
                <w:b/>
                <w:sz w:val="24"/>
                <w:szCs w:val="24"/>
              </w:rPr>
              <w:t>Pressure</w:t>
            </w:r>
            <w:proofErr w:type="spellEnd"/>
            <w:r w:rsidRPr="00620D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20D17">
              <w:rPr>
                <w:rFonts w:ascii="Arial" w:hAnsi="Arial" w:cs="Arial"/>
                <w:b/>
                <w:sz w:val="24"/>
                <w:szCs w:val="24"/>
              </w:rPr>
              <w:t>Research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</w:rPr>
              <w:t>, 33, 2013, pp.</w:t>
            </w:r>
            <w:r w:rsidR="007C36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2925">
              <w:rPr>
                <w:rFonts w:ascii="Arial" w:hAnsi="Arial" w:cs="Arial"/>
                <w:sz w:val="24"/>
                <w:szCs w:val="24"/>
              </w:rPr>
              <w:t>178-183;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E87AFB" w:rsidRPr="003A2925" w:rsidRDefault="00E87AFB" w:rsidP="00A5599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925">
              <w:rPr>
                <w:rFonts w:ascii="Arial" w:hAnsi="Arial" w:cs="Arial"/>
                <w:b/>
                <w:sz w:val="24"/>
                <w:szCs w:val="24"/>
              </w:rPr>
              <w:t>25 pkt.</w:t>
            </w:r>
          </w:p>
        </w:tc>
      </w:tr>
      <w:tr w:rsidR="00E87AFB" w:rsidRPr="003A2925" w:rsidTr="00A5599B">
        <w:trPr>
          <w:trHeight w:val="990"/>
        </w:trPr>
        <w:tc>
          <w:tcPr>
            <w:tcW w:w="9089" w:type="dxa"/>
            <w:vAlign w:val="center"/>
          </w:tcPr>
          <w:p w:rsidR="00E87AFB" w:rsidRPr="003A2925" w:rsidRDefault="00E87AFB" w:rsidP="00A5599B">
            <w:pPr>
              <w:spacing w:before="120" w:after="120"/>
              <w:ind w:left="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925">
              <w:rPr>
                <w:rFonts w:ascii="Arial" w:hAnsi="Arial" w:cs="Arial"/>
                <w:sz w:val="24"/>
                <w:szCs w:val="24"/>
              </w:rPr>
              <w:t xml:space="preserve">Rostocki A.J., Malanowski A.,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</w:rPr>
              <w:t>Tarakowski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</w:rPr>
              <w:t xml:space="preserve"> R., Szlachta K., Kiełczyński P., Szalewski M., Balcerzak A., Ptasznik S., The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</w:rPr>
              <w:t>sound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</w:rPr>
              <w:t>velocity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</w:rPr>
              <w:t>measurement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</w:rPr>
              <w:t>diacylglycerol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</w:rPr>
              <w:t>oil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</w:rPr>
              <w:t>under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</w:rPr>
              <w:t xml:space="preserve"> high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</w:rPr>
              <w:t>pressure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20D17">
              <w:rPr>
                <w:rFonts w:ascii="Arial" w:hAnsi="Arial" w:cs="Arial"/>
                <w:b/>
                <w:sz w:val="24"/>
                <w:szCs w:val="24"/>
              </w:rPr>
              <w:t xml:space="preserve">High </w:t>
            </w:r>
            <w:proofErr w:type="spellStart"/>
            <w:r w:rsidRPr="00620D17">
              <w:rPr>
                <w:rFonts w:ascii="Arial" w:hAnsi="Arial" w:cs="Arial"/>
                <w:b/>
                <w:sz w:val="24"/>
                <w:szCs w:val="24"/>
              </w:rPr>
              <w:t>Pressure</w:t>
            </w:r>
            <w:proofErr w:type="spellEnd"/>
            <w:r w:rsidRPr="00620D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20D17">
              <w:rPr>
                <w:rFonts w:ascii="Arial" w:hAnsi="Arial" w:cs="Arial"/>
                <w:b/>
                <w:sz w:val="24"/>
                <w:szCs w:val="24"/>
              </w:rPr>
              <w:t>Research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</w:rPr>
              <w:t>, 33, 2013, pp.</w:t>
            </w:r>
            <w:r w:rsidR="007C36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2925">
              <w:rPr>
                <w:rFonts w:ascii="Arial" w:hAnsi="Arial" w:cs="Arial"/>
                <w:sz w:val="24"/>
                <w:szCs w:val="24"/>
              </w:rPr>
              <w:t>172-177;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E87AFB" w:rsidRPr="003A2925" w:rsidRDefault="00E87AFB" w:rsidP="00A5599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2925">
              <w:rPr>
                <w:rFonts w:ascii="Arial" w:hAnsi="Arial" w:cs="Arial"/>
                <w:b/>
                <w:sz w:val="24"/>
                <w:szCs w:val="24"/>
                <w:lang w:val="en-US"/>
              </w:rPr>
              <w:t>25 pkt.</w:t>
            </w:r>
          </w:p>
        </w:tc>
      </w:tr>
      <w:tr w:rsidR="00E87AFB" w:rsidRPr="003A2925" w:rsidTr="00A5599B">
        <w:trPr>
          <w:trHeight w:val="795"/>
        </w:trPr>
        <w:tc>
          <w:tcPr>
            <w:tcW w:w="9089" w:type="dxa"/>
            <w:vAlign w:val="center"/>
          </w:tcPr>
          <w:p w:rsidR="00E87AFB" w:rsidRPr="003A2925" w:rsidRDefault="00E87AFB" w:rsidP="00A5599B">
            <w:pPr>
              <w:spacing w:before="120" w:after="120"/>
              <w:ind w:left="30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Rostocki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A.J.,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Tarakowski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R., Kiełczyński P., Szalewski M., Balcerzak A.,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Ptasznik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S., The Ultrasonic Investigation of Phase Transition in Olive Oil up to 0.7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GPa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5D784F">
              <w:rPr>
                <w:rFonts w:ascii="Arial" w:hAnsi="Arial" w:cs="Arial"/>
                <w:b/>
                <w:sz w:val="24"/>
                <w:szCs w:val="24"/>
                <w:lang w:val="en-US"/>
              </w:rPr>
              <w:t>J</w:t>
            </w:r>
            <w:r w:rsidR="00620D17" w:rsidRPr="005D784F">
              <w:rPr>
                <w:rFonts w:ascii="Arial" w:hAnsi="Arial" w:cs="Arial"/>
                <w:b/>
                <w:sz w:val="24"/>
                <w:szCs w:val="24"/>
                <w:lang w:val="en-US"/>
              </w:rPr>
              <w:t>ournal of the</w:t>
            </w:r>
            <w:r w:rsidRPr="005D784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Am</w:t>
            </w:r>
            <w:r w:rsidR="00620D17" w:rsidRPr="005D784F">
              <w:rPr>
                <w:rFonts w:ascii="Arial" w:hAnsi="Arial" w:cs="Arial"/>
                <w:b/>
                <w:sz w:val="24"/>
                <w:szCs w:val="24"/>
                <w:lang w:val="en-US"/>
              </w:rPr>
              <w:t>erican</w:t>
            </w:r>
            <w:r w:rsidRPr="005D784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Oil Chem</w:t>
            </w:r>
            <w:r w:rsidR="00620D17" w:rsidRPr="005D784F">
              <w:rPr>
                <w:rFonts w:ascii="Arial" w:hAnsi="Arial" w:cs="Arial"/>
                <w:b/>
                <w:sz w:val="24"/>
                <w:szCs w:val="24"/>
                <w:lang w:val="en-US"/>
              </w:rPr>
              <w:t>ists’</w:t>
            </w:r>
            <w:r w:rsidRPr="005D784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Soc</w:t>
            </w:r>
            <w:r w:rsidR="00620D17" w:rsidRPr="005D784F">
              <w:rPr>
                <w:rFonts w:ascii="Arial" w:hAnsi="Arial" w:cs="Arial"/>
                <w:b/>
                <w:sz w:val="24"/>
                <w:szCs w:val="24"/>
                <w:lang w:val="en-US"/>
              </w:rPr>
              <w:t>iety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, 90, 2013, pp.</w:t>
            </w:r>
            <w:r w:rsidR="007C366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813-818;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E87AFB" w:rsidRPr="003A2925" w:rsidRDefault="00E87AFB" w:rsidP="00A5599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2925">
              <w:rPr>
                <w:rFonts w:ascii="Arial" w:hAnsi="Arial" w:cs="Arial"/>
                <w:b/>
                <w:sz w:val="24"/>
                <w:szCs w:val="24"/>
                <w:lang w:val="en-US"/>
              </w:rPr>
              <w:t>30 pkt.</w:t>
            </w:r>
          </w:p>
        </w:tc>
      </w:tr>
      <w:tr w:rsidR="00A5599B" w:rsidRPr="003A2925" w:rsidTr="000A2357">
        <w:trPr>
          <w:trHeight w:val="673"/>
        </w:trPr>
        <w:tc>
          <w:tcPr>
            <w:tcW w:w="9089" w:type="dxa"/>
            <w:vAlign w:val="center"/>
          </w:tcPr>
          <w:p w:rsidR="00A5599B" w:rsidRPr="003A2925" w:rsidRDefault="000A2357" w:rsidP="000A2357">
            <w:pPr>
              <w:spacing w:before="120" w:after="120"/>
              <w:ind w:left="307"/>
              <w:jc w:val="center"/>
              <w:rPr>
                <w:rFonts w:ascii="Arial" w:hAnsi="Arial" w:cs="Arial"/>
                <w:sz w:val="24"/>
                <w:szCs w:val="24"/>
                <w:lang w:val="en-US" w:eastAsia="pl-PL"/>
              </w:rPr>
            </w:pPr>
            <w:r w:rsidRPr="003A2925">
              <w:rPr>
                <w:rFonts w:ascii="Arial" w:hAnsi="Arial" w:cs="Arial"/>
                <w:sz w:val="24"/>
                <w:szCs w:val="24"/>
                <w:lang w:val="en-US" w:eastAsia="pl-PL"/>
              </w:rPr>
              <w:t>Kiełczyński P.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, Szalewski M., Balcerzak A., Inverse Determination of the Viscosity of Liquid Using the Love Waves, </w:t>
            </w:r>
            <w:r w:rsidRPr="00E4375F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Pr="00E4375F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rd</w:t>
            </w:r>
            <w:r w:rsidRPr="00E4375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International Conference on Inverse Problems in Mechanics of Structures and Materials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, 24-27 April, 2013,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Rzeszów-Baranów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Sandomierski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, Poland</w:t>
            </w:r>
            <w:r w:rsidR="004F3F23"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, Conference Proceedings, </w:t>
            </w:r>
            <w:r w:rsidR="007B243D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4F3F23" w:rsidRPr="003A2925">
              <w:rPr>
                <w:rFonts w:ascii="Arial" w:hAnsi="Arial" w:cs="Arial"/>
                <w:sz w:val="24"/>
                <w:szCs w:val="24"/>
                <w:lang w:val="en-US"/>
              </w:rPr>
              <w:t>p.</w:t>
            </w:r>
            <w:r w:rsidR="007C366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F3F23" w:rsidRPr="003A2925">
              <w:rPr>
                <w:rFonts w:ascii="Arial" w:hAnsi="Arial" w:cs="Arial"/>
                <w:sz w:val="24"/>
                <w:szCs w:val="24"/>
                <w:lang w:val="en-US"/>
              </w:rPr>
              <w:t>25-26</w:t>
            </w:r>
          </w:p>
        </w:tc>
        <w:tc>
          <w:tcPr>
            <w:tcW w:w="1381" w:type="dxa"/>
            <w:vAlign w:val="center"/>
          </w:tcPr>
          <w:p w:rsidR="00A5599B" w:rsidRDefault="00CD4882" w:rsidP="000A235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 w:eastAsia="pl-PL"/>
              </w:rPr>
              <w:t>K</w:t>
            </w:r>
            <w:r w:rsidR="000A2357" w:rsidRPr="003A2925">
              <w:rPr>
                <w:rFonts w:ascii="Arial" w:hAnsi="Arial" w:cs="Arial"/>
                <w:b/>
                <w:sz w:val="24"/>
                <w:szCs w:val="24"/>
                <w:lang w:val="en-US" w:eastAsia="pl-PL"/>
              </w:rPr>
              <w:t>onferencja</w:t>
            </w:r>
            <w:proofErr w:type="spellEnd"/>
          </w:p>
          <w:p w:rsidR="00DE7B36" w:rsidRPr="003A2925" w:rsidRDefault="00DE7B36" w:rsidP="000A235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pl-PL"/>
              </w:rPr>
            </w:pPr>
          </w:p>
        </w:tc>
      </w:tr>
    </w:tbl>
    <w:p w:rsidR="00D96370" w:rsidRDefault="00D96370" w:rsidP="00A5599B">
      <w:pPr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br w:type="page"/>
      </w:r>
    </w:p>
    <w:p w:rsidR="00E87AFB" w:rsidRPr="00E87AFB" w:rsidRDefault="00E87AFB" w:rsidP="00A5599B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E87AFB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lastRenderedPageBreak/>
        <w:t xml:space="preserve">2012 </w:t>
      </w:r>
    </w:p>
    <w:p w:rsidR="00E87AFB" w:rsidRPr="000A2357" w:rsidRDefault="00E87AFB" w:rsidP="00A5599B">
      <w:pPr>
        <w:spacing w:before="120" w:after="12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2"/>
        <w:gridCol w:w="1528"/>
      </w:tblGrid>
      <w:tr w:rsidR="00353F95" w:rsidRPr="003A2925" w:rsidTr="00353F95">
        <w:trPr>
          <w:trHeight w:val="972"/>
        </w:trPr>
        <w:tc>
          <w:tcPr>
            <w:tcW w:w="9073" w:type="dxa"/>
            <w:vAlign w:val="center"/>
          </w:tcPr>
          <w:p w:rsidR="00353F95" w:rsidRPr="003A2925" w:rsidRDefault="00353F95" w:rsidP="00A5599B">
            <w:pPr>
              <w:spacing w:before="120" w:after="120"/>
              <w:ind w:left="15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Kiełczyński P., Szalewski M., Balcerzak A.,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Malanowski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A., Rostocki A.J., Application of the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Bleustein-Gulyaev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wave method for investigation of high-pressure phase transitions in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diacylglycerol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oil, </w:t>
            </w:r>
            <w:r w:rsidRPr="005C6E2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IEEE International </w:t>
            </w:r>
            <w:proofErr w:type="spellStart"/>
            <w:r w:rsidRPr="005C6E20">
              <w:rPr>
                <w:rFonts w:ascii="Arial" w:hAnsi="Arial" w:cs="Arial"/>
                <w:b/>
                <w:sz w:val="24"/>
                <w:szCs w:val="24"/>
                <w:lang w:val="en-US"/>
              </w:rPr>
              <w:t>Ultrasonics</w:t>
            </w:r>
            <w:proofErr w:type="spellEnd"/>
            <w:r w:rsidRPr="005C6E2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Symposium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, Dresden (Germany), 10.1109/ULTSYM.2012.0127, pp.</w:t>
            </w:r>
            <w:r w:rsidR="007C366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511-514;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5" w:rsidRPr="00824BDB" w:rsidRDefault="00CD4882" w:rsidP="00A5599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BDB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353F95" w:rsidRPr="00824BDB">
              <w:rPr>
                <w:rFonts w:ascii="Arial" w:hAnsi="Arial" w:cs="Arial"/>
                <w:b/>
                <w:sz w:val="24"/>
                <w:szCs w:val="24"/>
              </w:rPr>
              <w:t>onferencja</w:t>
            </w:r>
          </w:p>
          <w:p w:rsidR="00015B96" w:rsidRPr="00824BDB" w:rsidRDefault="00015B96" w:rsidP="00A5599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BDB">
              <w:rPr>
                <w:rFonts w:ascii="Arial" w:hAnsi="Arial" w:cs="Arial"/>
                <w:b/>
                <w:sz w:val="24"/>
                <w:szCs w:val="24"/>
              </w:rPr>
              <w:t>(na liście WEB of Science)</w:t>
            </w:r>
          </w:p>
        </w:tc>
      </w:tr>
      <w:tr w:rsidR="00353F95" w:rsidRPr="003A2925" w:rsidTr="00353F95">
        <w:trPr>
          <w:trHeight w:val="1122"/>
        </w:trPr>
        <w:tc>
          <w:tcPr>
            <w:tcW w:w="9073" w:type="dxa"/>
            <w:vAlign w:val="center"/>
          </w:tcPr>
          <w:p w:rsidR="00353F95" w:rsidRPr="003A2925" w:rsidRDefault="00353F95" w:rsidP="00A5599B">
            <w:pPr>
              <w:spacing w:before="120" w:after="120"/>
              <w:ind w:left="15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Kiełczyński P., Szalewski M., Balcerzak A., Inverse problem of the Love wave propagation in elastic waveguides loaded with a viscous liquid, </w:t>
            </w:r>
            <w:r w:rsidRPr="005C6E2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IEEE International </w:t>
            </w:r>
            <w:proofErr w:type="spellStart"/>
            <w:r w:rsidRPr="005C6E20">
              <w:rPr>
                <w:rFonts w:ascii="Arial" w:hAnsi="Arial" w:cs="Arial"/>
                <w:b/>
                <w:sz w:val="24"/>
                <w:szCs w:val="24"/>
                <w:lang w:val="en-US"/>
              </w:rPr>
              <w:t>Ultrasonics</w:t>
            </w:r>
            <w:proofErr w:type="spellEnd"/>
            <w:r w:rsidRPr="005C6E2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Symposium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, Dresden (Germany), 10.1109/ULTSYM.2012.0375, pp.</w:t>
            </w:r>
            <w:r w:rsidR="007C366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1501-1504;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41E" w:rsidRDefault="00CD4882" w:rsidP="00A5599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B96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353F95" w:rsidRPr="00015B96">
              <w:rPr>
                <w:rFonts w:ascii="Arial" w:hAnsi="Arial" w:cs="Arial"/>
                <w:b/>
                <w:sz w:val="24"/>
                <w:szCs w:val="24"/>
              </w:rPr>
              <w:t>onferencja</w:t>
            </w:r>
          </w:p>
          <w:p w:rsidR="00353F95" w:rsidRPr="00015B96" w:rsidRDefault="00015B96" w:rsidP="00A5599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B96">
              <w:rPr>
                <w:rFonts w:ascii="Arial" w:hAnsi="Arial" w:cs="Arial"/>
                <w:b/>
                <w:sz w:val="24"/>
                <w:szCs w:val="24"/>
              </w:rPr>
              <w:t>(na liście WEB of Science)</w:t>
            </w:r>
          </w:p>
        </w:tc>
      </w:tr>
      <w:tr w:rsidR="00353F95" w:rsidRPr="003A2925" w:rsidTr="00353F95">
        <w:trPr>
          <w:trHeight w:val="842"/>
        </w:trPr>
        <w:tc>
          <w:tcPr>
            <w:tcW w:w="9073" w:type="dxa"/>
            <w:vAlign w:val="center"/>
          </w:tcPr>
          <w:p w:rsidR="00353F95" w:rsidRPr="003A2925" w:rsidRDefault="00353F95" w:rsidP="00A5599B">
            <w:pPr>
              <w:spacing w:before="120" w:after="120"/>
              <w:ind w:left="15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Kiełczyński P., Szalewski M., Balcerzak A., Effect of a viscous liquid loading on Love wave propagation, </w:t>
            </w:r>
            <w:r w:rsidRPr="00C677C8">
              <w:rPr>
                <w:rFonts w:ascii="Arial" w:hAnsi="Arial" w:cs="Arial"/>
                <w:b/>
                <w:sz w:val="24"/>
                <w:szCs w:val="24"/>
                <w:lang w:val="en-US"/>
              </w:rPr>
              <w:t>International Journal of Solids and Structures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, 49, 2012, pp.</w:t>
            </w:r>
            <w:r w:rsidR="007C366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2314-2319;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5" w:rsidRPr="003A2925" w:rsidRDefault="00353F95" w:rsidP="00A5599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2925">
              <w:rPr>
                <w:rFonts w:ascii="Arial" w:hAnsi="Arial" w:cs="Arial"/>
                <w:b/>
                <w:sz w:val="24"/>
                <w:szCs w:val="24"/>
                <w:lang w:val="en-US"/>
              </w:rPr>
              <w:t>40 pkt.</w:t>
            </w:r>
          </w:p>
        </w:tc>
      </w:tr>
      <w:tr w:rsidR="00353F95" w:rsidRPr="003A2925" w:rsidTr="00353F95">
        <w:trPr>
          <w:trHeight w:val="1122"/>
        </w:trPr>
        <w:tc>
          <w:tcPr>
            <w:tcW w:w="9073" w:type="dxa"/>
            <w:vAlign w:val="center"/>
          </w:tcPr>
          <w:p w:rsidR="00353F95" w:rsidRPr="003A2925" w:rsidRDefault="00353F95" w:rsidP="00A5599B">
            <w:pPr>
              <w:spacing w:before="120" w:after="120"/>
              <w:ind w:left="15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Kiełczyński P., Szalewski M., Balcerzak A.,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Malanowski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Siegoczyński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R.M.,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Ptasznik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S., Investigation of high-pressure phase transitions in DAG (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diacylglycerol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) oil using the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Bleustein-Gulyaev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ultrasonic wave method, </w:t>
            </w:r>
            <w:r w:rsidRPr="00C677C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Food Research International, 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49, 2012, pp.</w:t>
            </w:r>
            <w:r w:rsidR="007C366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60-64;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5" w:rsidRPr="003A2925" w:rsidRDefault="00353F95" w:rsidP="00A5599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2925">
              <w:rPr>
                <w:rFonts w:ascii="Arial" w:hAnsi="Arial" w:cs="Arial"/>
                <w:b/>
                <w:sz w:val="24"/>
                <w:szCs w:val="24"/>
                <w:lang w:val="en-US"/>
              </w:rPr>
              <w:t>40 pkt.</w:t>
            </w:r>
          </w:p>
        </w:tc>
      </w:tr>
    </w:tbl>
    <w:p w:rsidR="00E87AFB" w:rsidRDefault="00E87AFB" w:rsidP="00A5599B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B07CF8" w:rsidRPr="00E87AFB" w:rsidRDefault="00B07CF8" w:rsidP="00A5599B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D96370" w:rsidRDefault="00D96370" w:rsidP="00A5599B">
      <w:pPr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:rsidR="00E87AFB" w:rsidRPr="00E87AFB" w:rsidRDefault="00E87AFB" w:rsidP="00A5599B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A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2011 </w:t>
      </w:r>
    </w:p>
    <w:p w:rsidR="00E87AFB" w:rsidRPr="00353F95" w:rsidRDefault="00E87AFB" w:rsidP="00A5599B">
      <w:pPr>
        <w:spacing w:before="120" w:after="12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4"/>
        <w:gridCol w:w="1604"/>
      </w:tblGrid>
      <w:tr w:rsidR="00353F95" w:rsidRPr="003A2925" w:rsidTr="003A2925">
        <w:trPr>
          <w:trHeight w:val="898"/>
        </w:trPr>
        <w:tc>
          <w:tcPr>
            <w:tcW w:w="8911" w:type="dxa"/>
            <w:shd w:val="clear" w:color="auto" w:fill="auto"/>
            <w:vAlign w:val="center"/>
          </w:tcPr>
          <w:p w:rsidR="00353F95" w:rsidRPr="00B12CCF" w:rsidRDefault="00353F95" w:rsidP="003A2925">
            <w:pPr>
              <w:spacing w:before="120" w:after="120"/>
              <w:ind w:left="125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2CCF">
              <w:rPr>
                <w:rFonts w:ascii="Arial" w:hAnsi="Arial" w:cs="Arial"/>
                <w:sz w:val="24"/>
                <w:szCs w:val="24"/>
                <w:lang w:val="en-US"/>
              </w:rPr>
              <w:t xml:space="preserve">Kiełczyński P., Szalewski M., Balcerzak A., Rostocki A.J., Measurements of the viscosity of liquids in function of pressure and temperature using SH surface acoustic waves, </w:t>
            </w:r>
            <w:r w:rsidR="00C75052" w:rsidRPr="00B12CC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IEEE International </w:t>
            </w:r>
            <w:proofErr w:type="spellStart"/>
            <w:r w:rsidR="00C75052" w:rsidRPr="00B12CCF">
              <w:rPr>
                <w:rFonts w:ascii="Arial" w:hAnsi="Arial" w:cs="Arial"/>
                <w:b/>
                <w:sz w:val="24"/>
                <w:szCs w:val="24"/>
                <w:lang w:val="en-US"/>
              </w:rPr>
              <w:t>Ultrasonics</w:t>
            </w:r>
            <w:proofErr w:type="spellEnd"/>
            <w:r w:rsidR="00C75052" w:rsidRPr="00B12CC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Symposium,</w:t>
            </w:r>
            <w:r w:rsidR="00C75052" w:rsidRPr="00B12CC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12CCF">
              <w:rPr>
                <w:rFonts w:ascii="Arial" w:hAnsi="Arial" w:cs="Arial"/>
                <w:sz w:val="24"/>
                <w:szCs w:val="24"/>
                <w:lang w:val="en-US"/>
              </w:rPr>
              <w:t xml:space="preserve">Orlando, (USA), </w:t>
            </w:r>
            <w:r w:rsidRPr="00B12CCF">
              <w:rPr>
                <w:rFonts w:ascii="Arial" w:hAnsi="Arial" w:cs="Arial"/>
                <w:sz w:val="24"/>
                <w:szCs w:val="24"/>
                <w:lang w:val="en-US"/>
              </w:rPr>
              <w:t>10.1109/ULTSYM.2011.0129;</w:t>
            </w:r>
            <w:r w:rsidR="00B12CCF" w:rsidRPr="00B12CCF">
              <w:rPr>
                <w:rFonts w:ascii="Arial" w:hAnsi="Arial" w:cs="Arial"/>
                <w:sz w:val="24"/>
                <w:szCs w:val="24"/>
                <w:lang w:val="en-US"/>
              </w:rPr>
              <w:t xml:space="preserve"> pp. 535-538,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5" w:rsidRPr="00B12CCF" w:rsidRDefault="00353F95" w:rsidP="003A292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2CCF">
              <w:rPr>
                <w:rFonts w:ascii="Arial" w:hAnsi="Arial" w:cs="Arial"/>
                <w:b/>
                <w:sz w:val="24"/>
                <w:szCs w:val="24"/>
              </w:rPr>
              <w:t>Konferencja</w:t>
            </w:r>
          </w:p>
          <w:p w:rsidR="00015B96" w:rsidRPr="00B12CCF" w:rsidRDefault="00015B96" w:rsidP="003A292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2CCF">
              <w:rPr>
                <w:rFonts w:ascii="Arial" w:hAnsi="Arial" w:cs="Arial"/>
                <w:b/>
                <w:sz w:val="24"/>
                <w:szCs w:val="24"/>
              </w:rPr>
              <w:t>(na liście WEB of Science)</w:t>
            </w:r>
          </w:p>
        </w:tc>
      </w:tr>
      <w:tr w:rsidR="00353F95" w:rsidRPr="003A2925" w:rsidTr="003A2925">
        <w:trPr>
          <w:trHeight w:val="1159"/>
        </w:trPr>
        <w:tc>
          <w:tcPr>
            <w:tcW w:w="8911" w:type="dxa"/>
            <w:shd w:val="clear" w:color="auto" w:fill="auto"/>
            <w:vAlign w:val="center"/>
          </w:tcPr>
          <w:p w:rsidR="00353F95" w:rsidRPr="003A2925" w:rsidRDefault="00353F95" w:rsidP="00530300">
            <w:pPr>
              <w:spacing w:before="120" w:after="120"/>
              <w:ind w:left="125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0300">
              <w:rPr>
                <w:rFonts w:ascii="Arial" w:hAnsi="Arial" w:cs="Arial"/>
                <w:sz w:val="24"/>
                <w:szCs w:val="24"/>
                <w:lang w:val="en-US"/>
              </w:rPr>
              <w:t xml:space="preserve">Kiełczyński P., Szalewski M., Balcerzak A., </w:t>
            </w:r>
            <w:proofErr w:type="spellStart"/>
            <w:r w:rsidRPr="00530300">
              <w:rPr>
                <w:rFonts w:ascii="Arial" w:hAnsi="Arial" w:cs="Arial"/>
                <w:sz w:val="24"/>
                <w:szCs w:val="24"/>
                <w:lang w:val="en-US"/>
              </w:rPr>
              <w:t>Rostocki</w:t>
            </w:r>
            <w:proofErr w:type="spellEnd"/>
            <w:r w:rsidRPr="00530300">
              <w:rPr>
                <w:rFonts w:ascii="Arial" w:hAnsi="Arial" w:cs="Arial"/>
                <w:sz w:val="24"/>
                <w:szCs w:val="24"/>
                <w:lang w:val="en-US"/>
              </w:rPr>
              <w:t xml:space="preserve"> A.J., </w:t>
            </w:r>
            <w:proofErr w:type="spellStart"/>
            <w:r w:rsidRPr="00530300">
              <w:rPr>
                <w:rFonts w:ascii="Arial" w:hAnsi="Arial" w:cs="Arial"/>
                <w:sz w:val="24"/>
                <w:szCs w:val="24"/>
                <w:lang w:val="en-US"/>
              </w:rPr>
              <w:t>Tefelski</w:t>
            </w:r>
            <w:proofErr w:type="spellEnd"/>
            <w:r w:rsidRPr="00530300">
              <w:rPr>
                <w:rFonts w:ascii="Arial" w:hAnsi="Arial" w:cs="Arial"/>
                <w:sz w:val="24"/>
                <w:szCs w:val="24"/>
                <w:lang w:val="en-US"/>
              </w:rPr>
              <w:t xml:space="preserve"> D.B., Applicatio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n of SH surface acoustic waves for measuring the viscosity of liquids in function of pressure and temperature, </w:t>
            </w:r>
            <w:r w:rsidRPr="00530300">
              <w:rPr>
                <w:rFonts w:ascii="Arial" w:hAnsi="Arial" w:cs="Arial"/>
                <w:b/>
                <w:sz w:val="24"/>
                <w:szCs w:val="24"/>
                <w:lang w:val="en-US"/>
              </w:rPr>
              <w:t>Ultrason</w:t>
            </w:r>
            <w:r w:rsidR="00212723" w:rsidRPr="00530300">
              <w:rPr>
                <w:rFonts w:ascii="Arial" w:hAnsi="Arial" w:cs="Arial"/>
                <w:b/>
                <w:sz w:val="24"/>
                <w:szCs w:val="24"/>
                <w:lang w:val="en-US"/>
              </w:rPr>
              <w:t>ics</w:t>
            </w:r>
            <w:r w:rsidR="00212723">
              <w:rPr>
                <w:rFonts w:ascii="Arial" w:hAnsi="Arial" w:cs="Arial"/>
                <w:sz w:val="24"/>
                <w:szCs w:val="24"/>
                <w:lang w:val="en-US"/>
              </w:rPr>
              <w:t>,51</w:t>
            </w:r>
            <w:r w:rsidR="0039113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12723">
              <w:rPr>
                <w:rFonts w:ascii="Arial" w:hAnsi="Arial" w:cs="Arial"/>
                <w:sz w:val="24"/>
                <w:szCs w:val="24"/>
                <w:lang w:val="en-US"/>
              </w:rPr>
              <w:t>(8) , 2011, pp.</w:t>
            </w:r>
            <w:r w:rsidR="007C366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12723">
              <w:rPr>
                <w:rFonts w:ascii="Arial" w:hAnsi="Arial" w:cs="Arial"/>
                <w:sz w:val="24"/>
                <w:szCs w:val="24"/>
                <w:lang w:val="en-US"/>
              </w:rPr>
              <w:t>921-</w:t>
            </w:r>
            <w:r w:rsidR="00530300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  <w:r w:rsidR="00212723">
              <w:rPr>
                <w:rFonts w:ascii="Arial" w:hAnsi="Arial" w:cs="Arial"/>
                <w:sz w:val="24"/>
                <w:szCs w:val="24"/>
                <w:lang w:val="en-US"/>
              </w:rPr>
              <w:t>4,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5" w:rsidRPr="003A2925" w:rsidRDefault="00353F95" w:rsidP="003A292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2925">
              <w:rPr>
                <w:rFonts w:ascii="Arial" w:hAnsi="Arial" w:cs="Arial"/>
                <w:b/>
                <w:sz w:val="24"/>
                <w:szCs w:val="24"/>
                <w:lang w:val="en-US"/>
              </w:rPr>
              <w:t>27 pkt.</w:t>
            </w:r>
          </w:p>
        </w:tc>
      </w:tr>
      <w:tr w:rsidR="00353F95" w:rsidRPr="003A2925" w:rsidTr="003A2925">
        <w:trPr>
          <w:trHeight w:val="991"/>
        </w:trPr>
        <w:tc>
          <w:tcPr>
            <w:tcW w:w="8911" w:type="dxa"/>
            <w:shd w:val="clear" w:color="auto" w:fill="auto"/>
            <w:vAlign w:val="center"/>
          </w:tcPr>
          <w:p w:rsidR="00353F95" w:rsidRPr="003A2925" w:rsidRDefault="00353F95" w:rsidP="003A2925">
            <w:pPr>
              <w:spacing w:before="120" w:after="120"/>
              <w:ind w:left="125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Rostocki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A.J.,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Siegoczyński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R.M.,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Kiełczyński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P., Szalewski M., Balcerzak A.,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Zduniak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M.,Employment</w:t>
            </w:r>
            <w:proofErr w:type="spellEnd"/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 of a novel ultrasonic method to investigate high pressure phase transitions in oleic acid, </w:t>
            </w:r>
            <w:r w:rsidRPr="00D268F3">
              <w:rPr>
                <w:rFonts w:ascii="Arial" w:hAnsi="Arial" w:cs="Arial"/>
                <w:b/>
                <w:sz w:val="24"/>
                <w:szCs w:val="24"/>
                <w:lang w:val="en-US"/>
              </w:rPr>
              <w:t>High Pressure Research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, 31: 2, 2011, pp.</w:t>
            </w:r>
            <w:r w:rsidR="00D268F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334-338;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5" w:rsidRPr="003A2925" w:rsidRDefault="00353F95" w:rsidP="003A292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2925">
              <w:rPr>
                <w:rFonts w:ascii="Arial" w:hAnsi="Arial" w:cs="Arial"/>
                <w:b/>
                <w:sz w:val="24"/>
                <w:szCs w:val="24"/>
                <w:lang w:val="en-US"/>
              </w:rPr>
              <w:t>27 pkt.</w:t>
            </w:r>
          </w:p>
        </w:tc>
      </w:tr>
      <w:tr w:rsidR="00353F95" w:rsidRPr="003A2925" w:rsidTr="003A2925">
        <w:trPr>
          <w:trHeight w:val="935"/>
        </w:trPr>
        <w:tc>
          <w:tcPr>
            <w:tcW w:w="8911" w:type="dxa"/>
            <w:shd w:val="clear" w:color="auto" w:fill="auto"/>
            <w:vAlign w:val="center"/>
          </w:tcPr>
          <w:p w:rsidR="00353F95" w:rsidRPr="003A2925" w:rsidRDefault="00353F95" w:rsidP="003A2925">
            <w:pPr>
              <w:spacing w:before="120" w:after="120"/>
              <w:ind w:left="125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 xml:space="preserve">Kiełczyński P., Szalewski M., An inverse method for determining the elastic properties of thin layers using Love surface waves, </w:t>
            </w:r>
            <w:r w:rsidRPr="00D268F3">
              <w:rPr>
                <w:rFonts w:ascii="Arial" w:hAnsi="Arial" w:cs="Arial"/>
                <w:b/>
                <w:sz w:val="24"/>
                <w:szCs w:val="24"/>
                <w:lang w:val="en-US"/>
              </w:rPr>
              <w:t>Inverse Problems in Science and Engineering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, 19:1, 2011, pp.</w:t>
            </w:r>
            <w:r w:rsidR="007C366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A2925">
              <w:rPr>
                <w:rFonts w:ascii="Arial" w:hAnsi="Arial" w:cs="Arial"/>
                <w:sz w:val="24"/>
                <w:szCs w:val="24"/>
                <w:lang w:val="en-US"/>
              </w:rPr>
              <w:t>31-43;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F95" w:rsidRPr="003A2925" w:rsidRDefault="00353F95" w:rsidP="003A292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2925">
              <w:rPr>
                <w:rFonts w:ascii="Arial" w:hAnsi="Arial" w:cs="Arial"/>
                <w:b/>
                <w:sz w:val="24"/>
                <w:szCs w:val="24"/>
                <w:lang w:val="en-US"/>
              </w:rPr>
              <w:t>20 pkt.</w:t>
            </w:r>
          </w:p>
        </w:tc>
      </w:tr>
    </w:tbl>
    <w:p w:rsidR="00E87AFB" w:rsidRDefault="00E87AFB" w:rsidP="00A5599B">
      <w:pPr>
        <w:spacing w:before="120" w:after="120"/>
        <w:rPr>
          <w:rFonts w:ascii="Arial" w:hAnsi="Arial" w:cs="Arial"/>
          <w:sz w:val="24"/>
          <w:szCs w:val="24"/>
          <w:lang w:val="en-US"/>
        </w:rPr>
      </w:pPr>
    </w:p>
    <w:p w:rsidR="004E4479" w:rsidRPr="00353F95" w:rsidRDefault="004E4479" w:rsidP="00A5599B">
      <w:pPr>
        <w:spacing w:before="120" w:after="120"/>
        <w:rPr>
          <w:rFonts w:ascii="Arial" w:hAnsi="Arial" w:cs="Arial"/>
          <w:sz w:val="24"/>
          <w:szCs w:val="24"/>
          <w:lang w:val="en-US"/>
        </w:rPr>
      </w:pPr>
    </w:p>
    <w:sectPr w:rsidR="004E4479" w:rsidRPr="00353F95" w:rsidSect="00E87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7896"/>
    <w:multiLevelType w:val="hybridMultilevel"/>
    <w:tmpl w:val="3D149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3440"/>
    <w:multiLevelType w:val="multilevel"/>
    <w:tmpl w:val="775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1352E"/>
    <w:multiLevelType w:val="multilevel"/>
    <w:tmpl w:val="C978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36F60"/>
    <w:multiLevelType w:val="hybridMultilevel"/>
    <w:tmpl w:val="839A4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F5D56"/>
    <w:multiLevelType w:val="multilevel"/>
    <w:tmpl w:val="C7D2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BB"/>
    <w:rsid w:val="00015B96"/>
    <w:rsid w:val="0003041E"/>
    <w:rsid w:val="000703BB"/>
    <w:rsid w:val="000A2357"/>
    <w:rsid w:val="001D6EC5"/>
    <w:rsid w:val="00212723"/>
    <w:rsid w:val="00353F95"/>
    <w:rsid w:val="0039113C"/>
    <w:rsid w:val="00396428"/>
    <w:rsid w:val="003A2925"/>
    <w:rsid w:val="00464409"/>
    <w:rsid w:val="004E4479"/>
    <w:rsid w:val="004F3F23"/>
    <w:rsid w:val="00530300"/>
    <w:rsid w:val="00533C56"/>
    <w:rsid w:val="00562DED"/>
    <w:rsid w:val="005C6E20"/>
    <w:rsid w:val="005D784F"/>
    <w:rsid w:val="005F74D5"/>
    <w:rsid w:val="00620D17"/>
    <w:rsid w:val="00722C8E"/>
    <w:rsid w:val="007B243D"/>
    <w:rsid w:val="007C3669"/>
    <w:rsid w:val="00824BDB"/>
    <w:rsid w:val="00834884"/>
    <w:rsid w:val="008673D5"/>
    <w:rsid w:val="0090693C"/>
    <w:rsid w:val="00937C05"/>
    <w:rsid w:val="00A5599B"/>
    <w:rsid w:val="00A9630E"/>
    <w:rsid w:val="00B07CF8"/>
    <w:rsid w:val="00B12CCF"/>
    <w:rsid w:val="00BC573B"/>
    <w:rsid w:val="00C677C8"/>
    <w:rsid w:val="00C746BD"/>
    <w:rsid w:val="00C75052"/>
    <w:rsid w:val="00C86707"/>
    <w:rsid w:val="00CD4882"/>
    <w:rsid w:val="00D268F3"/>
    <w:rsid w:val="00D96370"/>
    <w:rsid w:val="00DE48F3"/>
    <w:rsid w:val="00DE7B36"/>
    <w:rsid w:val="00E4375F"/>
    <w:rsid w:val="00E87AFB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87A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7A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7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87A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7A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7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3D63-B050-4548-B10F-85E0E274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8</cp:revision>
  <cp:lastPrinted>2014-05-07T12:23:00Z</cp:lastPrinted>
  <dcterms:created xsi:type="dcterms:W3CDTF">2014-05-07T12:43:00Z</dcterms:created>
  <dcterms:modified xsi:type="dcterms:W3CDTF">2014-11-06T10:35:00Z</dcterms:modified>
</cp:coreProperties>
</file>